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keepNext/>
        <w:widowControl/>
        <w:spacing w:before="0" w:after="0" w:line="238" w:lineRule="auto"/>
        <w:jc w:val="center"/>
      </w:pPr>
      <w:r>
        <w:rPr>
          <w:rFonts w:ascii="Garamond" w:hAnsi="Garamond"/>
          <w:b/>
          <w:i w:val="0"/>
          <w:color w:val="141418"/>
          <w:sz w:val="48"/>
        </w:rPr>
        <w:t>MELANIE BIMBO</w:t>
      </w:r>
    </w:p>
    <w:p>
      <w:pPr>
        <w:keepNext/>
        <w:widowControl/>
        <w:spacing w:before="0" w:after="40" w:line="238" w:lineRule="auto"/>
        <w:jc w:val="center"/>
      </w:pPr>
      <w:r>
        <w:rPr>
          <w:rFonts w:ascii="Garamond" w:hAnsi="Garamond"/>
          <w:b/>
          <w:i w:val="0"/>
          <w:color w:val="141418"/>
          <w:sz w:val="17"/>
        </w:rPr>
        <w:t>STRATEGY &amp; OPERATIONS EXECUTIVE | FINANCIAL GOVERNANCE | CAPITAL DELIVERY | TRANSFORMATION</w:t>
      </w:r>
    </w:p>
    <w:p>
      <w:pPr>
        <w:keepNext/>
        <w:spacing w:before="0" w:after="100" w:line="238" w:lineRule="auto"/>
        <w:jc w:val="center"/>
        <w:widowControl/>
        <w:pBdr>
          <w:bottom w:val="single" w:sz="8" w:space="4" w:color="132B6F"/>
        </w:pBdr>
      </w:pPr>
      <w:hyperlink r:id="rId8">
        <w:r>
          <w:rPr>
            <w:color w:val="132B6F"/>
            <w:u w:val="single"/>
            <w:rFonts w:ascii="Garamond" w:hAnsi="Garamond"/>
            <w:sz w:val="19"/>
          </w:rPr>
          <w:t>LinkedIn</w:t>
        </w:r>
      </w:hyperlink>
      <w:r>
        <w:rPr>
          <w:rFonts w:ascii="Garamond" w:hAnsi="Garamond"/>
          <w:b w:val="0"/>
          <w:i w:val="0"/>
          <w:sz w:val="19"/>
        </w:rPr>
        <w:t xml:space="preserve">  |  Birmingham, AL  |  205.240.5238  |  melaniedbimbo@gmail.com  |  </w:t>
      </w:r>
      <w:hyperlink r:id="rId12">
        <w:r>
          <w:rPr>
            <w:color w:val="132B6F"/>
            <w:u w:val="single"/>
            <w:rFonts w:ascii="Garamond" w:hAnsi="Garamond"/>
            <w:sz w:val="19"/>
          </w:rPr>
          <w:t>www.melaniebimbo.com</w:t>
        </w:r>
      </w:hyperlink>
    </w:p>
    <w:p>
      <w:pPr>
        <w:keepNext/>
        <w:widowControl/>
        <w:spacing w:before="100" w:after="26" w:line="238" w:lineRule="auto"/>
      </w:pPr>
      <w:r>
        <w:rPr>
          <w:rFonts w:ascii="Garamond" w:hAnsi="Garamond"/>
          <w:b/>
          <w:i w:val="0"/>
          <w:color w:val="132B6F"/>
          <w:sz w:val="21"/>
        </w:rPr>
        <w:t>PROFESSIONAL SUMMARY</w:t>
      </w:r>
    </w:p>
    <w:p>
      <w:pPr>
        <w:widowControl/>
        <w:spacing w:before="0" w:after="100" w:line="238" w:lineRule="auto"/>
      </w:pPr>
      <w:r>
        <w:rPr>
          <w:rFonts w:ascii="Garamond" w:hAnsi="Garamond"/>
          <w:b w:val="0"/>
          <w:i w:val="0"/>
          <w:color w:val="141418"/>
          <w:sz w:val="19"/>
        </w:rPr>
        <w:t>Executive strategy and operations leader spanning financial services, property-tax auditing, manufacturing, and public-private development. Built Alabama’s first Choice Neighborhoods Implementation Director operating function and leads delivery oversight for a $315M+ multiyear portfolio, seven housing phases, and 50+ partners. Track record of protecting revenue, lowering manufacturing costs, resolving financing risks, and turning fragmented operations into accountable execution. Combines formal team supervision with executive financial judgment, analytics, and cross-organizational influence.</w:t>
      </w:r>
    </w:p>
    <w:p>
      <w:pPr>
        <w:keepNext/>
        <w:widowControl/>
        <w:spacing w:before="100" w:after="26" w:line="238" w:lineRule="auto"/>
      </w:pPr>
      <w:r>
        <w:rPr>
          <w:rFonts w:ascii="Garamond" w:hAnsi="Garamond"/>
          <w:b/>
          <w:i w:val="0"/>
          <w:color w:val="132B6F"/>
          <w:sz w:val="21"/>
        </w:rPr>
        <w:t>CORE COMPETENCIES SNAPSHOT</w:t>
      </w:r>
    </w:p>
    <w:p>
      <w:pPr>
        <w:widowControl/>
        <w:spacing w:before="0" w:after="60" w:line="238" w:lineRule="auto"/>
      </w:pPr>
      <w:r>
        <w:rPr>
          <w:rFonts w:ascii="Garamond" w:hAnsi="Garamond"/>
          <w:b w:val="0"/>
          <w:i w:val="0"/>
          <w:color w:val="141418"/>
          <w:sz w:val="19"/>
        </w:rPr>
        <w:t>Strategy &amp; Transformation  |  Enterprise Operations  |  Capital &amp; Portfolio Governance  |  Financial Forecasting &amp; Controls  |  Manufacturing Performance  |  ESG &amp; Regulatory Risk  |  Executive Partnerships  |  KPI Analytics  |  Organizational Leadership  |  Change Management</w:t>
      </w:r>
    </w:p>
    <w:p>
      <w:pPr>
        <w:keepNext/>
        <w:widowControl/>
        <w:spacing w:before="100" w:after="26" w:line="238" w:lineRule="auto"/>
      </w:pPr>
      <w:r>
        <w:rPr>
          <w:rFonts w:ascii="Garamond" w:hAnsi="Garamond"/>
          <w:b/>
          <w:i w:val="0"/>
          <w:color w:val="132B6F"/>
          <w:sz w:val="21"/>
        </w:rPr>
        <w:t>LEADERSHIP HIGHLIGHTS &amp; KEY RESULTS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>•  CAPITAL DELIVERY &amp; STEWARDSHIP: Established $315M+ portfolio oversight and helped advance the 101-unit Legacy at Graymont School through financing, legal, and federal requirements to a successful 2026 financial closing.</w:t>
      </w:r>
      <w:r>
        <w:rPr>
          <w:rFonts w:ascii="Garamond" w:hAnsi="Garamond"/>
          <w:b/>
          <w:i w:val="0"/>
          <w:color w:val="141418"/>
          <w:sz w:val="19"/>
        </w:rPr>
      </w:r>
      <w:r>
        <w:rPr>
          <w:rFonts w:ascii="Garamond" w:hAnsi="Garamond"/>
          <w:b w:val="0"/>
          <w:i w:val="0"/>
          <w:color w:val="141418"/>
          <w:sz w:val="19"/>
        </w:rPr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MANUFACTURING PRODUCTIVITY: </w:t>
      </w:r>
      <w:r>
        <w:rPr>
          <w:rFonts w:ascii="Garamond" w:hAnsi="Garamond"/>
          <w:b w:val="0"/>
          <w:i w:val="0"/>
          <w:color w:val="141418"/>
          <w:sz w:val="19"/>
        </w:rPr>
        <w:t>Used labor and production data across six CEMEX plants to guide corrective action with operations leaders, contributing to approximately $150K annual savings and 15% lower unnecessary overtime costs.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REVENUE PROTECTION: </w:t>
      </w:r>
      <w:r>
        <w:rPr>
          <w:rFonts w:ascii="Garamond" w:hAnsi="Garamond"/>
          <w:b w:val="0"/>
          <w:i w:val="0"/>
          <w:color w:val="141418"/>
          <w:sz w:val="19"/>
        </w:rPr>
        <w:t>Uncovered underreported business assets at Jefferson County, contributing to approximately $15M in additional tax revenue and identifying $2M in previously unassessed property.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SCALABLE LEADERSHIP: </w:t>
      </w:r>
      <w:r>
        <w:rPr>
          <w:rFonts w:ascii="Garamond" w:hAnsi="Garamond"/>
          <w:b w:val="0"/>
          <w:i w:val="0"/>
          <w:color w:val="141418"/>
          <w:sz w:val="19"/>
        </w:rPr>
        <w:t>Created reporting and accountability systems for 50+ partners in a new director function, building on experience supervising six to nine Wells Fargo specialists.</w:t>
      </w:r>
    </w:p>
    <w:p>
      <w:pPr>
        <w:keepNext/>
        <w:widowControl/>
        <w:spacing w:before="100" w:after="26" w:line="238" w:lineRule="auto"/>
      </w:pPr>
      <w:r>
        <w:rPr>
          <w:rFonts w:ascii="Garamond" w:hAnsi="Garamond"/>
          <w:b/>
          <w:i w:val="0"/>
          <w:color w:val="132B6F"/>
          <w:sz w:val="21"/>
        </w:rPr>
        <w:t>PROFESSIONAL EXPERIENCE</w:t>
      </w:r>
    </w:p>
    <w:p>
      <w:pPr>
        <w:keepNext/>
        <w:widowControl/>
        <w:tabs>
          <w:tab w:pos="10368" w:val="right"/>
        </w:tabs>
        <w:spacing w:before="80" w:after="12" w:line="238" w:lineRule="auto"/>
      </w:pPr>
      <w:r>
        <w:rPr>
          <w:rFonts w:ascii="Garamond" w:hAnsi="Garamond"/>
          <w:b/>
          <w:i w:val="0"/>
          <w:color w:val="141418"/>
          <w:sz w:val="20"/>
        </w:rPr>
        <w:t>Director of Strategic Initiatives</w:t>
      </w:r>
      <w:r>
        <w:rPr>
          <w:rFonts w:ascii="Garamond" w:hAnsi="Garamond"/>
          <w:b/>
          <w:i w:val="0"/>
          <w:color w:val="141418"/>
          <w:sz w:val="19"/>
        </w:rPr>
        <w:tab/>
        <w:t>June 2024 – Present</w:t>
      </w:r>
    </w:p>
    <w:p>
      <w:pPr>
        <w:keepNext/>
        <w:widowControl/>
        <w:spacing w:before="0" w:after="14" w:line="238" w:lineRule="auto"/>
      </w:pPr>
      <w:r>
        <w:rPr>
          <w:rFonts w:ascii="Garamond" w:hAnsi="Garamond"/>
          <w:b/>
          <w:i w:val="0"/>
          <w:color w:val="141418"/>
          <w:sz w:val="19"/>
        </w:rPr>
        <w:t>Housing Authority of the Birmingham District / City of Birmingham  |  Birmingham, AL</w:t>
      </w:r>
    </w:p>
    <w:p>
      <w:pPr>
        <w:keepNext/>
        <w:widowControl/>
        <w:spacing w:before="0" w:after="20" w:line="238" w:lineRule="auto"/>
      </w:pPr>
      <w:r>
        <w:rPr>
          <w:rFonts w:ascii="Garamond" w:hAnsi="Garamond"/>
          <w:b w:val="0"/>
          <w:i/>
          <w:color w:val="41444B"/>
          <w:sz w:val="18"/>
        </w:rPr>
        <w:t>Official title: Choice Neighborhoods Implementation (CNI) Director</w:t>
      </w:r>
    </w:p>
    <w:p>
      <w:pPr>
        <w:widowControl/>
        <w:spacing w:before="0" w:after="40" w:line="238" w:lineRule="auto"/>
      </w:pPr>
      <w:r>
        <w:rPr>
          <w:rFonts w:ascii="Garamond" w:hAnsi="Garamond"/>
          <w:b w:val="0"/>
          <w:i w:val="0"/>
          <w:color w:val="141418"/>
          <w:sz w:val="19"/>
        </w:rPr>
        <w:t>Established the implementation management model for the Smithfield–College Hills–Graymont initiative, aligning housing authority and City executives with developers, HUD, lenders, investors, counsel, contractors, and community partners.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CREATED A NEW OPERATING MODEL: </w:t>
      </w:r>
      <w:r>
        <w:rPr>
          <w:rFonts w:ascii="Garamond" w:hAnsi="Garamond"/>
          <w:b w:val="0"/>
          <w:i w:val="0"/>
          <w:color w:val="141418"/>
          <w:sz w:val="19"/>
        </w:rPr>
        <w:t>Built milestone ownership, dashboards, risk escalation, and financial reporting for Alabama’s first CNI director function, aligning 50+ partners around decisions and delivery accountability.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>•  ADVANCED A COMPLEX FINANCIAL CLOSING: Aligned construction and permanent financing, tax-credit equity, counsel, and HUD approvals to support the successful 2026 closing of the 101-unit Legacy at Graymont School, the first of seven housing phases.</w:t>
      </w:r>
      <w:r>
        <w:rPr>
          <w:rFonts w:ascii="Garamond" w:hAnsi="Garamond"/>
          <w:b/>
          <w:i w:val="0"/>
          <w:color w:val="141418"/>
          <w:sz w:val="19"/>
        </w:rPr>
      </w:r>
      <w:r>
        <w:rPr>
          <w:rFonts w:ascii="Garamond" w:hAnsi="Garamond"/>
          <w:b w:val="0"/>
          <w:i w:val="0"/>
          <w:color w:val="141418"/>
          <w:sz w:val="19"/>
        </w:rPr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HELPED RESOLVE A CRITICAL TAX-STRUCTURE RISK: </w:t>
      </w:r>
      <w:r>
        <w:rPr>
          <w:rFonts w:ascii="Garamond" w:hAnsi="Garamond"/>
          <w:b w:val="0"/>
          <w:i w:val="0"/>
          <w:color w:val="141418"/>
          <w:sz w:val="19"/>
        </w:rPr>
        <w:t>Used county tax expertise and relationships to unite City, county, and developer counsel around public-use and ownership issues, supporting tax opinions and closing readiness.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PROTECTED FUTURE CAPITAL COMMITMENTS: </w:t>
      </w:r>
      <w:r>
        <w:rPr>
          <w:rFonts w:ascii="Garamond" w:hAnsi="Garamond"/>
          <w:b w:val="0"/>
          <w:i w:val="0"/>
          <w:color w:val="141418"/>
          <w:sz w:val="19"/>
        </w:rPr>
        <w:t>Reconciled planned and actual Phase 1 sources and uses, identified $2M advanced from later phases requiring backfill, and built multiyear expenditure forecasts to inform subsequent funding decisions.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>•  TURNED BENCHMARKING INTO ACTION: Benchmarked Birmingham against national peer grantees, documented first-place cohort performance in cumulative job placements and training completions, and identified employment, education, and enrollment data inconsistencies for follow-up.</w:t>
      </w:r>
      <w:r>
        <w:rPr>
          <w:rFonts w:ascii="Garamond" w:hAnsi="Garamond"/>
          <w:b/>
          <w:i w:val="0"/>
          <w:color w:val="141418"/>
          <w:sz w:val="19"/>
        </w:rPr>
      </w:r>
      <w:r>
        <w:rPr>
          <w:rFonts w:ascii="Garamond" w:hAnsi="Garamond"/>
          <w:b w:val="0"/>
          <w:i w:val="0"/>
          <w:color w:val="141418"/>
          <w:sz w:val="19"/>
        </w:rPr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PRESERVED PARTNERSHIPS AND DELIVERY READINESS: </w:t>
      </w:r>
      <w:r>
        <w:rPr>
          <w:rFonts w:ascii="Garamond" w:hAnsi="Garamond"/>
          <w:b w:val="0"/>
          <w:i w:val="0"/>
          <w:color w:val="141418"/>
          <w:sz w:val="19"/>
        </w:rPr>
        <w:t>Led an approximately $200K eligible-funding decision sustaining UAB evaluation after NIH disruption, strengthened deliverable reviews, and advanced cross-agency alignment, local engineering, resident communication, and project due diligence.</w:t>
      </w:r>
    </w:p>
    <w:p>
      <w:pPr>
        <w:keepNext/>
        <w:widowControl/>
        <w:tabs>
          <w:tab w:pos="10368" w:val="right"/>
        </w:tabs>
        <w:spacing w:before="80" w:after="12" w:line="238" w:lineRule="auto"/>
      </w:pPr>
      <w:r>
        <w:rPr>
          <w:rFonts w:ascii="Garamond" w:hAnsi="Garamond"/>
          <w:b/>
          <w:i w:val="0"/>
          <w:color w:val="141418"/>
          <w:sz w:val="20"/>
        </w:rPr>
        <w:t>Internal Control Analyst</w:t>
      </w:r>
      <w:r>
        <w:rPr>
          <w:rFonts w:ascii="Garamond" w:hAnsi="Garamond"/>
          <w:b/>
          <w:i w:val="0"/>
          <w:color w:val="141418"/>
          <w:sz w:val="19"/>
        </w:rPr>
        <w:tab/>
        <w:t>February 2024 – July 2024</w:t>
      </w:r>
    </w:p>
    <w:p>
      <w:pPr>
        <w:keepNext/>
        <w:widowControl/>
        <w:spacing w:before="0" w:after="14" w:line="238" w:lineRule="auto"/>
      </w:pPr>
      <w:r>
        <w:rPr>
          <w:rFonts w:ascii="Garamond" w:hAnsi="Garamond"/>
          <w:b/>
          <w:i w:val="0"/>
          <w:color w:val="141418"/>
          <w:sz w:val="19"/>
        </w:rPr>
        <w:t>CEMEX USA  |  Building Materials Manufacturing  |  Birmingham, AL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REDUCED MANUFACTURING COST EXPOSURE: </w:t>
      </w:r>
      <w:r>
        <w:rPr>
          <w:rFonts w:ascii="Garamond" w:hAnsi="Garamond"/>
          <w:b w:val="0"/>
          <w:i w:val="0"/>
          <w:color w:val="141418"/>
          <w:sz w:val="19"/>
        </w:rPr>
        <w:t>Analyzed labor hours against production at six plants using SAP, Kronos, Power BI, and Excel, partnering with plant leaders and HR on actions associated with approximately $150K in annual savings and 15% less unnecessary overtime.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IDENTIFIED FRAUD AND CONTROL GAPS: </w:t>
      </w:r>
      <w:r>
        <w:rPr>
          <w:rFonts w:ascii="Garamond" w:hAnsi="Garamond"/>
          <w:b w:val="0"/>
          <w:i w:val="0"/>
          <w:color w:val="141418"/>
          <w:sz w:val="19"/>
        </w:rPr>
        <w:t>Investigated abnormal timekeeping and operating patterns, assessed potential time theft and control failures, and helped plant management and HR implement corrective measures.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STRENGTHENED OPERATING ASSURANCE: </w:t>
      </w:r>
      <w:r>
        <w:rPr>
          <w:rFonts w:ascii="Garamond" w:hAnsi="Garamond"/>
          <w:b w:val="0"/>
          <w:i w:val="0"/>
          <w:color w:val="141418"/>
          <w:sz w:val="19"/>
        </w:rPr>
        <w:t>Applied SOX testing and exception monitoring across procurement, inventory, scrap, logistics, and finance, enabling management to prioritize remediation of operating-risk findings.</w:t>
      </w:r>
    </w:p>
    <w:p>
      <w:pPr>
        <w:keepNext/>
        <w:widowControl/>
        <w:tabs>
          <w:tab w:pos="10368" w:val="right"/>
        </w:tabs>
        <w:spacing w:before="80" w:after="12" w:line="238" w:lineRule="auto"/>
      </w:pPr>
      <w:r>
        <w:rPr>
          <w:rFonts w:ascii="Garamond" w:hAnsi="Garamond"/>
          <w:b/>
          <w:i w:val="0"/>
          <w:color w:val="141418"/>
          <w:sz w:val="20"/>
        </w:rPr>
        <w:t>Auditor, Business Personal Property</w:t>
      </w:r>
      <w:r>
        <w:rPr>
          <w:rFonts w:ascii="Garamond" w:hAnsi="Garamond"/>
          <w:b/>
          <w:i w:val="0"/>
          <w:color w:val="141418"/>
          <w:sz w:val="19"/>
        </w:rPr>
        <w:tab/>
        <w:t>March 2016 – February 2024</w:t>
      </w:r>
    </w:p>
    <w:p>
      <w:pPr>
        <w:keepNext/>
        <w:widowControl/>
        <w:spacing w:before="0" w:after="14" w:line="238" w:lineRule="auto"/>
      </w:pPr>
      <w:r>
        <w:rPr>
          <w:rFonts w:ascii="Garamond" w:hAnsi="Garamond"/>
          <w:b/>
          <w:i w:val="0"/>
          <w:color w:val="141418"/>
          <w:sz w:val="19"/>
        </w:rPr>
        <w:t>Jefferson County Commission, Tax Assessor’s Office  |  Birmingham, AL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EXPANDED THE COUNTY TAX BASE: </w:t>
      </w:r>
      <w:r>
        <w:rPr>
          <w:rFonts w:ascii="Garamond" w:hAnsi="Garamond"/>
          <w:b w:val="0"/>
          <w:i w:val="0"/>
          <w:color w:val="141418"/>
          <w:sz w:val="19"/>
        </w:rPr>
        <w:t>Identified unregistered businesses and underreported assets through field investigations, business records, and data reviews, contributing to approximately $15M in additional tax revenue and identifying $2M in previously unassessed property.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RESOLVED COMPLEX COMPLIANCE EXPOSURE: </w:t>
      </w:r>
      <w:r>
        <w:rPr>
          <w:rFonts w:ascii="Garamond" w:hAnsi="Garamond"/>
          <w:b w:val="0"/>
          <w:i w:val="0"/>
          <w:color w:val="141418"/>
          <w:sz w:val="19"/>
        </w:rPr>
        <w:t>Led high-risk business-property audits and appeals under Alabama tax law, turning asset evidence into defensible assessments, corrective filings, and resolved taxpayer disputes.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IMPROVED AUDIT SPEED AND ACCURACY: </w:t>
      </w:r>
      <w:r>
        <w:rPr>
          <w:rFonts w:ascii="Garamond" w:hAnsi="Garamond"/>
          <w:b w:val="0"/>
          <w:i w:val="0"/>
          <w:color w:val="141418"/>
          <w:sz w:val="19"/>
        </w:rPr>
        <w:t>Introduced digital documentation and appraiser training that supported 15% faster audit completion and 20% fewer appraisal errors.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PROTECTED INCENTIVE AND INVESTMENT DECISIONS: </w:t>
      </w:r>
      <w:r>
        <w:rPr>
          <w:rFonts w:ascii="Garamond" w:hAnsi="Garamond"/>
          <w:b w:val="0"/>
          <w:i w:val="0"/>
          <w:color w:val="141418"/>
          <w:sz w:val="19"/>
        </w:rPr>
        <w:t>Evaluated commercial tax-abatement eligibility, asset documentation, and development benefits, building the expertise later used to help address Graymont’s public-use and property-tax structure.</w:t>
      </w:r>
    </w:p>
    <w:p>
      <w:pPr>
        <w:keepNext/>
        <w:widowControl/>
        <w:tabs>
          <w:tab w:pos="10368" w:val="right"/>
        </w:tabs>
        <w:spacing w:before="80" w:after="12" w:line="238" w:lineRule="auto"/>
      </w:pPr>
      <w:r>
        <w:rPr>
          <w:rFonts w:ascii="Garamond" w:hAnsi="Garamond"/>
          <w:b/>
          <w:i w:val="0"/>
          <w:color w:val="141418"/>
          <w:sz w:val="20"/>
        </w:rPr>
        <w:t>Home Preservation Supervisor / Specialist I &amp; II</w:t>
      </w:r>
      <w:r>
        <w:rPr>
          <w:rFonts w:ascii="Garamond" w:hAnsi="Garamond"/>
          <w:b/>
          <w:i w:val="0"/>
          <w:color w:val="141418"/>
          <w:sz w:val="19"/>
        </w:rPr>
        <w:tab/>
        <w:t>October 2011 – August 2015</w:t>
      </w:r>
    </w:p>
    <w:p>
      <w:pPr>
        <w:keepNext/>
        <w:widowControl/>
        <w:spacing w:before="0" w:after="14" w:line="238" w:lineRule="auto"/>
      </w:pPr>
      <w:r>
        <w:rPr>
          <w:rFonts w:ascii="Garamond" w:hAnsi="Garamond"/>
          <w:b/>
          <w:i w:val="0"/>
          <w:color w:val="141418"/>
          <w:sz w:val="19"/>
        </w:rPr>
        <w:t>Wells Fargo Home Mortgage  |  Homewood, AL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LED A HIGH-PERFORMING MORTGAGE TEAM: </w:t>
      </w:r>
      <w:r>
        <w:rPr>
          <w:rFonts w:ascii="Garamond" w:hAnsi="Garamond"/>
          <w:b w:val="0"/>
          <w:i w:val="0"/>
          <w:color w:val="141418"/>
          <w:sz w:val="19"/>
        </w:rPr>
        <w:t>Formally supervised six to nine specialists handling default resolutions, investor requirements, and escalations, coaching the team to its site’s lowest aged and out-of-compliance file count during a reported quarter.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RAISED SERVICE PRODUCTIVITY AND QUALITY: </w:t>
      </w:r>
      <w:r>
        <w:rPr>
          <w:rFonts w:ascii="Garamond" w:hAnsi="Garamond"/>
          <w:b w:val="0"/>
          <w:i w:val="0"/>
          <w:color w:val="141418"/>
          <w:sz w:val="19"/>
        </w:rPr>
        <w:t>Led coaching, workflow changes, and system training associated with 35% lower handling time and 25% higher service levels; earned repeated top-5% national closing recognition.</w:t>
      </w:r>
    </w:p>
    <w:p>
      <w:pPr>
        <w:widowControl/>
        <w:spacing w:before="0" w:after="23" w:line="238" w:lineRule="auto"/>
        <w:ind w:left="331" w:hanging="187"/>
      </w:pPr>
      <w:r>
        <w:rPr>
          <w:rFonts w:ascii="Garamond" w:hAnsi="Garamond"/>
          <w:b w:val="0"/>
          <w:i w:val="0"/>
          <w:color w:val="141418"/>
          <w:sz w:val="19"/>
        </w:rPr>
        <w:t xml:space="preserve">•  </w:t>
      </w:r>
      <w:r>
        <w:rPr>
          <w:rFonts w:ascii="Garamond" w:hAnsi="Garamond"/>
          <w:b/>
          <w:i w:val="0"/>
          <w:color w:val="141418"/>
          <w:sz w:val="19"/>
        </w:rPr>
        <w:t xml:space="preserve">BUILT TALENT AND SUCCESSION CAPACITY: </w:t>
      </w:r>
      <w:r>
        <w:rPr>
          <w:rFonts w:ascii="Garamond" w:hAnsi="Garamond"/>
          <w:b w:val="0"/>
          <w:i w:val="0"/>
          <w:color w:val="141418"/>
          <w:sz w:val="19"/>
        </w:rPr>
        <w:t>Founded the Team Birmingham Mentorship Program supporting more than 20 colleagues, trained employees through process changes, and reported team performance and compliance results to senior management.</w:t>
      </w:r>
    </w:p>
    <w:p>
      <w:pPr>
        <w:widowControl/>
        <w:spacing w:before="60" w:after="0" w:line="238" w:lineRule="auto"/>
      </w:pPr>
      <w:r>
        <w:rPr>
          <w:rFonts w:ascii="Garamond" w:hAnsi="Garamond"/>
          <w:b w:val="0"/>
          <w:i/>
          <w:color w:val="41444B"/>
          <w:sz w:val="18"/>
        </w:rPr>
        <w:t>Earlier Wells Fargo experience: Financial Crimes / Fraud Specialist II (2009–2011), investigating suspicious transactions and control failures to identify and limit financial risk.</w:t>
      </w:r>
    </w:p>
    <w:p>
      <w:pPr>
        <w:keepNext/>
        <w:widowControl/>
        <w:spacing w:before="100" w:after="26" w:line="238" w:lineRule="auto"/>
      </w:pPr>
      <w:r>
        <w:rPr>
          <w:rFonts w:ascii="Garamond" w:hAnsi="Garamond"/>
          <w:b/>
          <w:i w:val="0"/>
          <w:color w:val="132B6F"/>
          <w:sz w:val="21"/>
        </w:rPr>
        <w:t>EDUCATION &amp; PROFESSIONAL CREDENTIALS</w:t>
      </w:r>
    </w:p>
    <w:p>
      <w:pPr>
        <w:widowControl/>
        <w:spacing w:before="0" w:after="40" w:line="238" w:lineRule="auto"/>
      </w:pPr>
      <w:r>
        <w:rPr>
          <w:rFonts w:ascii="Garamond" w:hAnsi="Garamond"/>
          <w:b w:val="0"/>
          <w:i w:val="0"/>
          <w:color w:val="141418"/>
          <w:sz w:val="19"/>
        </w:rPr>
        <w:t>Bachelor of Business Administration  |  Faulkner University, Birmingham, AL  |  2013</w:t>
      </w:r>
    </w:p>
    <w:p>
      <w:pPr>
        <w:widowControl/>
        <w:spacing w:before="0" w:after="40" w:line="238" w:lineRule="auto"/>
      </w:pPr>
      <w:r>
        <w:rPr>
          <w:rFonts w:ascii="Garamond" w:hAnsi="Garamond"/>
          <w:b w:val="0"/>
          <w:i w:val="0"/>
          <w:color w:val="141418"/>
          <w:sz w:val="19"/>
        </w:rPr>
        <w:t>Fundamentals of Real Property Appraisal, IAAO/Auburn  |  2019   •   Personal Property Appraisal, Auburn University GEDI  |  2018</w:t>
      </w:r>
    </w:p>
    <w:p>
      <w:pPr>
        <w:keepNext/>
        <w:widowControl/>
        <w:spacing w:before="100" w:after="26" w:line="238" w:lineRule="auto"/>
      </w:pPr>
      <w:r>
        <w:rPr>
          <w:rFonts w:ascii="Garamond" w:hAnsi="Garamond"/>
          <w:b/>
          <w:i w:val="0"/>
          <w:color w:val="132B6F"/>
          <w:sz w:val="21"/>
        </w:rPr>
        <w:t>TECHNOLOGY &amp; ANALYTICS</w:t>
      </w:r>
    </w:p>
    <w:p>
      <w:pPr>
        <w:widowControl/>
        <w:spacing w:before="0" w:after="0" w:line="238" w:lineRule="auto"/>
      </w:pPr>
      <w:r>
        <w:rPr>
          <w:rFonts w:ascii="Garamond" w:hAnsi="Garamond"/>
          <w:b w:val="0"/>
          <w:i w:val="0"/>
          <w:color w:val="141418"/>
          <w:sz w:val="19"/>
        </w:rPr>
        <w:t>Power BI  |  Advanced Excel &amp; Financial Modeling  |  SAP  |  Kronos  |  ACL Analytics  |  Microsoft 365  |  SharePoint  |  Executive Dashboards  |  Forecasting &amp; KPI Reporting  |  Workflow Automation</w:t>
      </w:r>
    </w:p>
    <w:sectPr w:rsidR="001E4267" w:rsidRPr="0017404A" w:rsidSect="00290A50">
      <w:footerReference w:type="default" r:id="rId9"/>
      <w:pgSz w:w="12240" w:h="15840"/>
      <w:pgMar w:top="720" w:right="936" w:bottom="691" w:left="93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150" w:rsidRDefault="00293150" w:rsidP="002808FB">
      <w:pPr>
        <w:spacing w:after="0" w:line="240" w:lineRule="auto"/>
      </w:pPr>
      <w:r>
        <w:separator/>
      </w:r>
    </w:p>
  </w:endnote>
  <w:endnote w:type="continuationSeparator" w:id="0">
    <w:p w:rsidR="00293150" w:rsidRDefault="00293150" w:rsidP="00280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82493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08FB" w:rsidRDefault="002808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8FB" w:rsidRDefault="002808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150" w:rsidRDefault="00293150" w:rsidP="002808FB">
      <w:pPr>
        <w:spacing w:after="0" w:line="240" w:lineRule="auto"/>
      </w:pPr>
      <w:r>
        <w:separator/>
      </w:r>
    </w:p>
  </w:footnote>
  <w:footnote w:type="continuationSeparator" w:id="0">
    <w:p w:rsidR="00293150" w:rsidRDefault="00293150" w:rsidP="00280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ADA3F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C64E1B"/>
    <w:multiLevelType w:val="hybridMultilevel"/>
    <w:tmpl w:val="485A3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63559A"/>
    <w:multiLevelType w:val="hybridMultilevel"/>
    <w:tmpl w:val="73366B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A01FF"/>
    <w:multiLevelType w:val="hybridMultilevel"/>
    <w:tmpl w:val="6A9AE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F5404"/>
    <w:multiLevelType w:val="hybridMultilevel"/>
    <w:tmpl w:val="B5DE77AA"/>
    <w:lvl w:ilvl="0" w:tplc="24F08598">
      <w:numFmt w:val="bullet"/>
      <w:lvlText w:val="•"/>
      <w:lvlJc w:val="left"/>
      <w:pPr>
        <w:ind w:left="108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3A95C69"/>
    <w:multiLevelType w:val="hybridMultilevel"/>
    <w:tmpl w:val="0832A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4556B"/>
    <w:multiLevelType w:val="hybridMultilevel"/>
    <w:tmpl w:val="826A8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337474"/>
    <w:multiLevelType w:val="hybridMultilevel"/>
    <w:tmpl w:val="C11C0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4A3852"/>
    <w:multiLevelType w:val="hybridMultilevel"/>
    <w:tmpl w:val="A2D65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469D8"/>
    <w:multiLevelType w:val="hybridMultilevel"/>
    <w:tmpl w:val="777EB756"/>
    <w:lvl w:ilvl="0" w:tplc="24F08598">
      <w:numFmt w:val="bullet"/>
      <w:lvlText w:val="•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A0AC7"/>
    <w:multiLevelType w:val="hybridMultilevel"/>
    <w:tmpl w:val="0568B3FA"/>
    <w:lvl w:ilvl="0" w:tplc="BDF6405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C0285"/>
    <w:multiLevelType w:val="hybridMultilevel"/>
    <w:tmpl w:val="8E0CE0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14E28D9"/>
    <w:multiLevelType w:val="hybridMultilevel"/>
    <w:tmpl w:val="943AE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CC2F0C"/>
    <w:multiLevelType w:val="hybridMultilevel"/>
    <w:tmpl w:val="155E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E36E4"/>
    <w:multiLevelType w:val="hybridMultilevel"/>
    <w:tmpl w:val="9C76F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344CC"/>
    <w:multiLevelType w:val="hybridMultilevel"/>
    <w:tmpl w:val="256CF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A3C7A"/>
    <w:multiLevelType w:val="hybridMultilevel"/>
    <w:tmpl w:val="9CCE1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007179"/>
    <w:multiLevelType w:val="hybridMultilevel"/>
    <w:tmpl w:val="14183AFC"/>
    <w:lvl w:ilvl="0" w:tplc="24F08598">
      <w:numFmt w:val="bullet"/>
      <w:lvlText w:val="•"/>
      <w:lvlJc w:val="left"/>
      <w:pPr>
        <w:ind w:left="108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C0D3633"/>
    <w:multiLevelType w:val="hybridMultilevel"/>
    <w:tmpl w:val="05AA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2652B2"/>
    <w:multiLevelType w:val="hybridMultilevel"/>
    <w:tmpl w:val="4F2E0E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9C74359"/>
    <w:multiLevelType w:val="hybridMultilevel"/>
    <w:tmpl w:val="CA6E8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D2043"/>
    <w:multiLevelType w:val="hybridMultilevel"/>
    <w:tmpl w:val="AED22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B2379"/>
    <w:multiLevelType w:val="hybridMultilevel"/>
    <w:tmpl w:val="01882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1"/>
  </w:num>
  <w:num w:numId="11">
    <w:abstractNumId w:val="18"/>
  </w:num>
  <w:num w:numId="12">
    <w:abstractNumId w:val="19"/>
  </w:num>
  <w:num w:numId="13">
    <w:abstractNumId w:val="26"/>
  </w:num>
  <w:num w:numId="14">
    <w:abstractNumId w:val="9"/>
  </w:num>
  <w:num w:numId="15">
    <w:abstractNumId w:val="23"/>
  </w:num>
  <w:num w:numId="16">
    <w:abstractNumId w:val="16"/>
  </w:num>
  <w:num w:numId="17">
    <w:abstractNumId w:val="20"/>
  </w:num>
  <w:num w:numId="18">
    <w:abstractNumId w:val="11"/>
  </w:num>
  <w:num w:numId="19">
    <w:abstractNumId w:val="13"/>
  </w:num>
  <w:num w:numId="20">
    <w:abstractNumId w:val="29"/>
  </w:num>
  <w:num w:numId="21">
    <w:abstractNumId w:val="14"/>
  </w:num>
  <w:num w:numId="22">
    <w:abstractNumId w:val="28"/>
  </w:num>
  <w:num w:numId="23">
    <w:abstractNumId w:val="15"/>
  </w:num>
  <w:num w:numId="24">
    <w:abstractNumId w:val="22"/>
  </w:num>
  <w:num w:numId="25">
    <w:abstractNumId w:val="27"/>
  </w:num>
  <w:num w:numId="26">
    <w:abstractNumId w:val="30"/>
  </w:num>
  <w:num w:numId="27">
    <w:abstractNumId w:val="24"/>
  </w:num>
  <w:num w:numId="28">
    <w:abstractNumId w:val="17"/>
  </w:num>
  <w:num w:numId="29">
    <w:abstractNumId w:val="25"/>
  </w:num>
  <w:num w:numId="30">
    <w:abstractNumId w:val="12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200"/>
    <w:rsid w:val="00034616"/>
    <w:rsid w:val="0006063C"/>
    <w:rsid w:val="000F3E22"/>
    <w:rsid w:val="00117F42"/>
    <w:rsid w:val="0015074B"/>
    <w:rsid w:val="0017404A"/>
    <w:rsid w:val="001E4267"/>
    <w:rsid w:val="00254F1C"/>
    <w:rsid w:val="002808FB"/>
    <w:rsid w:val="00290A50"/>
    <w:rsid w:val="00293150"/>
    <w:rsid w:val="0029639D"/>
    <w:rsid w:val="002B2376"/>
    <w:rsid w:val="002C187C"/>
    <w:rsid w:val="00312FC6"/>
    <w:rsid w:val="00326F90"/>
    <w:rsid w:val="0034201A"/>
    <w:rsid w:val="003E01D3"/>
    <w:rsid w:val="004479A6"/>
    <w:rsid w:val="0047334F"/>
    <w:rsid w:val="005D5FD9"/>
    <w:rsid w:val="006168E7"/>
    <w:rsid w:val="00682F6E"/>
    <w:rsid w:val="008E3C93"/>
    <w:rsid w:val="00A25382"/>
    <w:rsid w:val="00AA1D8D"/>
    <w:rsid w:val="00AD33C0"/>
    <w:rsid w:val="00B47730"/>
    <w:rsid w:val="00C02852"/>
    <w:rsid w:val="00C503E1"/>
    <w:rsid w:val="00C5751C"/>
    <w:rsid w:val="00CB0664"/>
    <w:rsid w:val="00CB79ED"/>
    <w:rsid w:val="00D55DD4"/>
    <w:rsid w:val="00E35AC9"/>
    <w:rsid w:val="00E732B1"/>
    <w:rsid w:val="00EF72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F95E2C"/>
  <w14:defaultImageDpi w14:val="300"/>
  <w15:docId w15:val="{850F9D2F-5FDD-4BB8-B848-64F630C1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before="0" w:after="26" w:line="238" w:lineRule="auto"/>
    </w:pPr>
    <w:rPr>
      <w:rFonts w:ascii="Garamond" w:hAnsi="Garamond"/>
      <w:color w:val="14141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C50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4733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1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linkedin.com/in/melanie-bimbo-6a0434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yperlink" Target="https://www.melaniebimbo.com" TargetMode="External"/></Relationships>
</file>

<file path=word/theme/_rels/theme1.xml.rels><?xml version='1.0' encoding='UTF-8' standalone='yes'?>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runge Textur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ABC16D-4B0F-4265-BDCF-FBE64E0CA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Melanie Bimbo Executive Master Resume</dc:title>
  <dc:subject>Executive impact-led master resume</dc:subject>
  <dc:creator>python-docx</dc:creator>
  <cp:keywords/>
  <dc:description>generated by python-docx</dc:description>
  <cp:lastModifiedBy>Melanie Bimbo</cp:lastModifiedBy>
  <cp:revision>2</cp:revision>
  <dcterms:created xsi:type="dcterms:W3CDTF">2026-02-02T00:36:00Z</dcterms:created>
  <dcterms:modified xsi:type="dcterms:W3CDTF">2026-02-02T00:36:00Z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c3ef743c-2319-4f48-8c17-bc7554430f95</vt:lpwstr>
  </property>
</Properties>
</file>